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2005</w:t>
      </w:r>
    </w:p>
    <w:p>
      <w:r>
        <w:rPr>
          <w:rFonts w:ascii="宋体" w:hAnsi="宋体" w:eastAsia="宋体"/>
          <w:sz w:val="24"/>
        </w:rPr>
        <w:t>杨树民，刘百宽主编；渭南市人民政府编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杨树民，刘百宽主编；渭南市人民政府编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本书出售、求购地址：https://www.jiaokey.com/book/detail/11664441.html</w:t>
      </w:r>
    </w:p>
    <w:p>
      <w:r>
        <w:t>更多相关图书推荐：https://www.jiaokey.com</w:t>
      </w:r>
    </w:p>
    <w:p>
      <w:r>
        <w:t>杨树民，刘百宽主编；渭南市人民政府编 其他作品：https://www.jiaokey.com/tag/杨树民，刘百宽主编；渭南市人民政府编.html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