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1940年以来的艺术  艺术生存的策略</w:t>
      </w:r>
    </w:p>
    <w:p>
      <w:r>
        <w:rPr>
          <w:rFonts w:ascii="宋体" w:hAnsi="宋体" w:eastAsia="宋体"/>
          <w:sz w:val="24"/>
        </w:rPr>
        <w:t>（美）乔纳森·费恩伯格（Jonathan Fineberg）著；王春辰，丁亚雷译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1940年以来的艺术  艺术生存的策略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（美）乔纳森·费恩伯格（Jonathan Fineberg）著；王春辰，丁亚雷译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本书出售、求购地址：https://www.jiaokey.com/book/detail/11790940.html</w:t>
      </w:r>
    </w:p>
    <w:p>
      <w:r>
        <w:t>更多相关图书推荐：https://www.jiaokey.com</w:t>
      </w:r>
    </w:p>
    <w:p>
      <w:r>
        <w:t>（美）乔纳森·费恩伯格（Jonathan Fineberg）著；王春辰，丁亚雷译 其他作品：https://www.jiaokey.com/tag/（美）乔纳森·费恩伯格（Jonathan Fineberg）著；王春辰，丁亚雷译.html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关键词搜索：https://www.jiaokey.com/tag/1940年以来的艺术  艺术生存的策略.html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