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金属加工设备的计划预修制度</w:t>
      </w:r>
    </w:p>
    <w:p>
      <w:r>
        <w:rPr>
          <w:rFonts w:ascii="宋体" w:hAnsi="宋体" w:eastAsia="宋体"/>
          <w:sz w:val="24"/>
        </w:rPr>
        <w:t>胡志麟译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金属加工设备的计划预修制度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第二机械工业部第四局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本书出售、求购地址：https://www.jiaokey.com/book/detail/11825932.html</w:t>
      </w:r>
    </w:p>
    <w:p>
      <w:r>
        <w:t>更多相关图书推荐：https://www.jiaokey.com</w:t>
      </w:r>
    </w:p>
    <w:p>
      <w:r>
        <w:t>胡志麟译 其他作品：https://www.jiaokey.com/tag/胡志麟译.html</w:t>
      </w:r>
    </w:p>
    <w:p>
      <w:r>
        <w:t>第二机械工业部第四局 出版图书：https://www.jiaokey.com/tag/第二机械工业部第四局.html</w:t>
      </w:r>
    </w:p>
    <w:p>
      <w:r>
        <w:t>关键词搜索：https://www.jiaokey.com/tag/金属加工设备的计划预修制度.html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