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地震现场工作  第四部分  灾害直接损失评估（GB/T18208.4-2005</w:t>
      </w:r>
    </w:p>
    <w:p>
      <w:r>
        <w:rPr>
          <w:rFonts w:ascii="宋体" w:hAnsi="宋体" w:eastAsia="宋体"/>
          <w:sz w:val="24"/>
        </w:rPr>
        <w:t>袁一凡主编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地震现场工作  第四部分  灾害直接损失评估（GB/T18208.4-2005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本书出售、求购地址：https://www.jiaokey.com/book/detail/11861925.html</w:t>
      </w:r>
    </w:p>
    <w:p>
      <w:r>
        <w:t>更多相关图书推荐：https://www.jiaokey.com</w:t>
      </w:r>
    </w:p>
    <w:p>
      <w:r>
        <w:t>袁一凡主编 其他作品：https://www.jiaokey.com/tag/袁一凡主编.html</w:t>
      </w:r>
    </w:p>
    <w:p>
      <w:r>
        <w:t>地震出版社 出版图书：https://www.jiaokey.com/tag/地震出版社.html</w:t>
      </w:r>
    </w:p>
    <w:p>
      <w:r>
        <w:t>关键词搜索：https://www.jiaokey.com/tag/地震现场工作  第四部分  灾害直接损失评估（GB/T18208.4-2005.html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