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曼谷设计基因：21位曼谷当代设计&amp;创意人群像</w:t>
      </w:r>
    </w:p>
    <w:p>
      <w:r>
        <w:rPr>
          <w:rFonts w:ascii="宋体" w:hAnsi="宋体" w:eastAsia="宋体"/>
          <w:sz w:val="24"/>
        </w:rPr>
        <w:t>李俊明著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曼谷设计基因：21位曼谷当代设计&amp;创意人群像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本书出售、求购地址：https://www.jiaokey.com/book/detail/11869554.html</w:t>
      </w:r>
    </w:p>
    <w:p>
      <w:r>
        <w:t>更多相关图书推荐：https://www.jiaokey.com</w:t>
      </w:r>
    </w:p>
    <w:p>
      <w:r>
        <w:t>李俊明著 其他作品：https://www.jiaokey.com/tag/李俊明著.html</w:t>
      </w:r>
    </w:p>
    <w:p>
      <w:r>
        <w:t>关键词搜索：https://www.jiaokey.com/tag/曼谷设计基因：21位曼谷当代设计&amp;创意人群像.html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