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贵州集体公益林产权案例研究</w:t>
      </w:r>
    </w:p>
    <w:p>
      <w:r>
        <w:rPr>
          <w:rFonts w:ascii="宋体" w:hAnsi="宋体" w:eastAsia="宋体"/>
          <w:sz w:val="24"/>
        </w:rPr>
        <w:t>金普春，温佐吾主编；苏明，李兰丽编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贵州集体公益林产权案例研究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金普春，温佐吾主编；苏明，李兰丽编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本书出售、求购地址：https://www.jiaokey.com/book/detail/11894745.html</w:t>
      </w:r>
    </w:p>
    <w:p>
      <w:r>
        <w:t>更多相关图书推荐：https://www.jiaokey.com</w:t>
      </w:r>
    </w:p>
    <w:p>
      <w:r>
        <w:t>金普春，温佐吾主编；苏明，李兰丽编 其他作品：https://www.jiaokey.com/tag/金普春，温佐吾主编；苏明，李兰丽编.html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关键词搜索：https://www.jiaokey.com/tag/贵州集体公益林产权案例研究.html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