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百世一断  历史的第二种读法</w:t>
      </w:r>
    </w:p>
    <w:p>
      <w:r>
        <w:rPr>
          <w:rFonts w:ascii="宋体" w:hAnsi="宋体" w:eastAsia="宋体"/>
          <w:sz w:val="24"/>
        </w:rPr>
        <w:t>史良昭撰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百世一断  历史的第二种读法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史良昭撰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本书出售、求购地址：https://www.jiaokey.com/book/detail/11905397.html</w:t>
      </w:r>
    </w:p>
    <w:p>
      <w:r>
        <w:t>更多相关图书推荐：https://www.jiaokey.com</w:t>
      </w:r>
    </w:p>
    <w:p>
      <w:r>
        <w:t>史良昭撰 其他作品：https://www.jiaokey.com/tag/史良昭撰.html</w:t>
      </w:r>
    </w:p>
    <w:p>
      <w:r>
        <w:t>上海古籍出版社 出版图书：https://www.jiaokey.com/tag/上海古籍出版社.html</w:t>
      </w:r>
    </w:p>
    <w:p>
      <w:r>
        <w:t>关键词搜索：https://www.jiaokey.com/tag/百世一断  历史的第二种读法.html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