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对河蟹大眼幼体变态因素的探讨</w:t>
      </w:r>
    </w:p>
    <w:p>
      <w:r>
        <w:rPr>
          <w:rFonts w:ascii="宋体" w:hAnsi="宋体" w:eastAsia="宋体"/>
          <w:sz w:val="24"/>
        </w:rPr>
        <w:t>孔维军，葛立军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对河蟹大眼幼体变态因素的探讨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孔维军，葛立军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本书出售、求购地址：https://www.jiaokey.com/book/detail/11909744.html</w:t>
      </w:r>
    </w:p>
    <w:p>
      <w:r>
        <w:t>更多相关图书推荐：https://www.jiaokey.com</w:t>
      </w:r>
    </w:p>
    <w:p>
      <w:r>
        <w:t>孔维军，葛立军 其他作品：https://www.jiaokey.com/tag/孔维军，葛立军.html</w:t>
      </w:r>
    </w:p>
    <w:p>
      <w:r>
        <w:t>关键词搜索：https://www.jiaokey.com/tag/对河蟹大眼幼体变态因素的探讨.html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