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华北高等职业教育特色研究</w:t>
      </w:r>
    </w:p>
    <w:p>
      <w:r>
        <w:rPr>
          <w:rFonts w:ascii="宋体" w:hAnsi="宋体" w:eastAsia="宋体"/>
          <w:sz w:val="24"/>
        </w:rPr>
        <w:t>赵文军，田秀萍，赵胜潮主编；《华北高等职业教育特色研究》编委会编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华北高等职业教育特色研究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赵文军，田秀萍，赵胜潮主编；《华北高等职业教育特色研究》编委会编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本书出售、求购地址：https://www.jiaokey.com/book/detail/11920135.html</w:t>
      </w:r>
    </w:p>
    <w:p>
      <w:r>
        <w:t>更多相关图书推荐：https://www.jiaokey.com</w:t>
      </w:r>
    </w:p>
    <w:p>
      <w:r>
        <w:t>赵文军，田秀萍，赵胜潮主编；《华北高等职业教育特色研究》编委会编 其他作品：https://www.jiaokey.com/tag/赵文军，田秀萍，赵胜潮主编；《华北高等职业教育特色研究》编委会编.html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关键词搜索：https://www.jiaokey.com/tag/华北高等职业教育特色研究.html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