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构建三座立交桥  绵阳师范学院办学模式研究与实践</w:t>
      </w:r>
    </w:p>
    <w:p>
      <w:r>
        <w:rPr>
          <w:rFonts w:ascii="宋体" w:hAnsi="宋体" w:eastAsia="宋体"/>
          <w:sz w:val="24"/>
        </w:rPr>
        <w:t>苏智先主编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构建三座立交桥  绵阳师范学院办学模式研究与实践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苏智先主编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本书出售、求购地址：https://www.jiaokey.com/book/detail/11925872.html</w:t>
      </w:r>
    </w:p>
    <w:p>
      <w:r>
        <w:t>更多相关图书推荐：https://www.jiaokey.com</w:t>
      </w:r>
    </w:p>
    <w:p>
      <w:r>
        <w:t>苏智先主编 其他作品：https://www.jiaokey.com/tag/苏智先主编.html</w:t>
      </w:r>
    </w:p>
    <w:p>
      <w:r>
        <w:t>成都市：电子科技大学出版社 出版图书：https://www.jiaokey.com/tag/成都市：电子科技大学出版社.html</w:t>
      </w:r>
    </w:p>
    <w:p>
      <w:r>
        <w:t>关键词搜索：https://www.jiaokey.com/tag/构建三座立交桥  绵阳师范学院办学模式研究与实践.html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