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生活世界现象学</w:t>
      </w:r>
    </w:p>
    <w:p>
      <w:r>
        <w:rPr>
          <w:rFonts w:ascii="宋体" w:hAnsi="宋体" w:eastAsia="宋体"/>
          <w:sz w:val="24"/>
        </w:rPr>
        <w:t>（德）埃德蒙德·胡塞尔（Edmund Husserl）著；（德）克劳斯·黑尔德（Klaus Held）编；倪梁康，张廷国译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Husserl）著；（德）克劳斯·黑尔德（Klaus Held）编；倪梁康，张廷国译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本书出售、求购地址：https://www.jiaokey.com/book/detail/11993091.html</w:t>
      </w:r>
    </w:p>
    <w:p>
      <w:r>
        <w:t>更多相关图书推荐：https://www.jiaokey.com</w:t>
      </w:r>
    </w:p>
    <w:p>
      <w:r>
        <w:t>（德）埃德蒙德·胡塞尔（Edmund Husserl）著；（德）克劳斯·黑尔德（Klaus Held）编；倪梁康，张廷国译 其他作品：https://www.jiaokey.com/tag/（德）埃德蒙德·胡塞尔（Edmund Husserl）著；（德）克劳斯·黑尔德（Klaus Held）编；倪梁康，张廷国译.html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关键词搜索：https://www.jiaokey.com/tag/生活世界现象学.html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