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DJS-8计算机FORTRAN 4编译系统设计说明  第4分册  连接编辑</w:t>
      </w:r>
    </w:p>
    <w:p>
      <w:r>
        <w:rPr>
          <w:rFonts w:ascii="宋体" w:hAnsi="宋体" w:eastAsia="宋体"/>
          <w:sz w:val="24"/>
        </w:rPr>
        <w:t>中国科学院高能物理研究所七室，FORTRAN4编译系统设计组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DJS-8计算机FORTRAN 4编译系统设计说明  第4分册  连接编辑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中国科学院高能物理研究所七室，FORTRAN4编译系统设计组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本书出售、求购地址：https://www.jiaokey.com/book/detail/11995053.html</w:t>
      </w:r>
    </w:p>
    <w:p>
      <w:r>
        <w:t>更多相关图书推荐：https://www.jiaokey.com</w:t>
      </w:r>
    </w:p>
    <w:p>
      <w:r>
        <w:t>中国科学院高能物理研究所七室，FORTRAN4编译系统设计组 其他作品：https://www.jiaokey.com/tag/中国科学院高能物理研究所七室，FORTRAN4编译系统设计组.html</w:t>
      </w:r>
    </w:p>
    <w:p>
      <w:r>
        <w:t>关键词搜索：https://www.jiaokey.com/tag/DJS-8计算机FORTRAN 4编译系统设计说明  第4分册  连接编辑.html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