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非瓦尔拉斯分析方法导论</w:t>
      </w:r>
    </w:p>
    <w:p>
      <w:r>
        <w:rPr>
          <w:rFonts w:ascii="宋体" w:hAnsi="宋体" w:eastAsia="宋体"/>
          <w:sz w:val="24"/>
        </w:rPr>
        <w:t>（法）让－帕斯卡尔·贝纳西（Jean-Pascal-Benassy）著；刘成生，朱远清，郭上沂译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非瓦尔拉斯分析方法导论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（法）让－帕斯卡尔·贝纳西（Jean-Pascal-Benassy）著；刘成生，朱远清，郭上沂译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本书出售、求购地址：https://www.jiaokey.com/book/detail/11996960.html</w:t>
      </w:r>
    </w:p>
    <w:p>
      <w:r>
        <w:t>更多相关图书推荐：https://www.jiaokey.com</w:t>
      </w:r>
    </w:p>
    <w:p>
      <w:r>
        <w:t>（法）让－帕斯卡尔·贝纳西（Jean-Pascal-Benassy）著；刘成生，朱远清，郭上沂译 其他作品：https://www.jiaokey.com/tag/（法）让－帕斯卡尔·贝纳西（Jean-Pascal-Benassy）著；刘成生，朱远清，郭上沂译.html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关键词搜索：https://www.jiaokey.com/tag/宏观经济学  非瓦尔拉斯分析方法导论.html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