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公债管理</w:t>
      </w:r>
    </w:p>
    <w:p>
      <w:r>
        <w:rPr>
          <w:rFonts w:ascii="宋体" w:hAnsi="宋体" w:eastAsia="宋体"/>
          <w:sz w:val="24"/>
        </w:rPr>
        <w:t>（英）亚历桑德罗·米撒尔著；靳俐，杨志勇翻译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（英）亚历桑德罗·米撒尔著；靳俐，杨志勇翻译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本书出售、求购地址：https://www.jiaokey.com/book/detail/11998320.html</w:t>
      </w:r>
    </w:p>
    <w:p>
      <w:r>
        <w:t>更多相关图书推荐：https://www.jiaokey.com</w:t>
      </w:r>
    </w:p>
    <w:p>
      <w:r>
        <w:t>（英）亚历桑德罗·米撒尔著；靳俐，杨志勇翻译 其他作品：https://www.jiaokey.com/tag/（英）亚历桑德罗·米撒尔著；靳俐，杨志勇翻译.html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