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镜像后的文化冲突与文化认同  英美文学中的中国形象</w:t>
      </w:r>
    </w:p>
    <w:p>
      <w:r>
        <w:rPr>
          <w:rFonts w:ascii="宋体" w:hAnsi="宋体" w:eastAsia="宋体"/>
          <w:sz w:val="24"/>
        </w:rPr>
        <w:t>姜智芹著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镜像后的文化冲突与文化认同  英美文学中的中国形象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本书出售、求购地址：https://www.jiaokey.com/book/detail/12003286.html</w:t>
      </w:r>
    </w:p>
    <w:p>
      <w:r>
        <w:t>更多相关图书推荐：https://www.jiaokey.com</w:t>
      </w:r>
    </w:p>
    <w:p>
      <w:r>
        <w:t>姜智芹著 其他作品：https://www.jiaokey.com/tag/姜智芹著.html</w:t>
      </w:r>
    </w:p>
    <w:p>
      <w:r>
        <w:t>北京：中华书局 出版图书：https://www.jiaokey.com/tag/北京：中华书局.html</w:t>
      </w:r>
    </w:p>
    <w:p>
      <w:r>
        <w:t>关键词搜索：https://www.jiaokey.com/tag/镜像后的文化冲突与文化认同  英美文学中的中国形象.html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