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书名：经济增长、贫富分化与财税改革 Growth， equity and finance reform in China 中国特色社会主义公共财政制度改革与设计 eng</w:t>
      </w:r>
    </w:p>
    <w:p>
      <w:r>
        <w:t>作者:许生著</w:t>
      </w:r>
    </w:p>
    <w:p>
      <w:r>
        <w:t>出版社:北京：中国市场出版社</w:t>
      </w:r>
    </w:p>
    <w:p>
      <w:r>
        <w:t>出版日期：2008.04</w:t>
      </w:r>
    </w:p>
    <w:p>
      <w:r>
        <w:t>总页数：258</w:t>
      </w:r>
    </w:p>
    <w:p>
      <w:r>
        <w:t>更多请访问教客网:www.jiaokey.com</w:t>
      </w:r>
    </w:p>
    <w:p>
      <w:r>
        <w:t>经济增长、贫富分化与财税改革 Growth， equity and finance reform in China 中国特色社会主义公共财政制度改革与设计 eng评论地址：https://www.jiaokey.com/book/detail/12044250.html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