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论历史现象链索中基本环节的判定</w:t>
      </w:r>
    </w:p>
    <w:p>
      <w:r>
        <w:rPr>
          <w:rFonts w:ascii="宋体" w:hAnsi="宋体" w:eastAsia="宋体"/>
          <w:sz w:val="24"/>
        </w:rPr>
        <w:t>（苏）柯兹洛夫（，И.Козлов）撰；仲公译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论历史现象链索中基本环节的判定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（苏）柯兹洛夫（，И.Козлов）撰；仲公译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本书出售、求购地址：https://www.jiaokey.com/book/detail/12074530.html</w:t>
      </w:r>
    </w:p>
    <w:p>
      <w:r>
        <w:t>更多相关图书推荐：https://www.jiaokey.com</w:t>
      </w:r>
    </w:p>
    <w:p>
      <w:r>
        <w:t>（苏）柯兹洛夫（，И.Козлов）撰；仲公译 其他作品：https://www.jiaokey.com/tag/（苏）柯兹洛夫（，И.Козлов）撰；仲公译.html</w:t>
      </w:r>
    </w:p>
    <w:p>
      <w:r>
        <w:t>上海作家书屋 出版图书：https://www.jiaokey.com/tag/上海作家书屋.html</w:t>
      </w:r>
    </w:p>
    <w:p>
      <w:r>
        <w:t>关键词搜索：https://www.jiaokey.com/tag/论历史现象链索中基本环节的判定.html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