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双音编码使用手册</w:t>
      </w:r>
    </w:p>
    <w:p>
      <w:r>
        <w:rPr>
          <w:rFonts w:ascii="宋体" w:hAnsi="宋体" w:eastAsia="宋体"/>
          <w:sz w:val="24"/>
        </w:rPr>
        <w:t>刘卫民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双音编码使用手册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中光电脑公司双音电脑技术研究室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本书出售、求购地址：https://www.jiaokey.com/book/detail/12089092.html</w:t>
      </w:r>
    </w:p>
    <w:p>
      <w:r>
        <w:t>更多相关图书推荐：https://www.jiaokey.com</w:t>
      </w:r>
    </w:p>
    <w:p>
      <w:r>
        <w:t>刘卫民 其他作品：https://www.jiaokey.com/tag/刘卫民.html</w:t>
      </w:r>
    </w:p>
    <w:p>
      <w:r>
        <w:t>中光电脑公司双音电脑技术研究室 出版图书：https://www.jiaokey.com/tag/中光电脑公司双音电脑技术研究室.html</w:t>
      </w:r>
    </w:p>
    <w:p>
      <w:r>
        <w:t>关键词搜索：https://www.jiaokey.com/tag/双音编码使用手册.html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