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中国机电工业基本国情的研究</w:t>
      </w:r>
    </w:p>
    <w:p>
      <w:r>
        <w:rPr>
          <w:rFonts w:ascii="宋体" w:hAnsi="宋体" w:eastAsia="宋体"/>
          <w:sz w:val="24"/>
        </w:rPr>
        <w:t>郭锐编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中国机电工业基本国情的研究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机械工业部科技信息研究院综合研究室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本书出售、求购地址：https://www.jiaokey.com/book/detail/12090071.html</w:t>
      </w:r>
    </w:p>
    <w:p>
      <w:r>
        <w:t>更多相关图书推荐：https://www.jiaokey.com</w:t>
      </w:r>
    </w:p>
    <w:p>
      <w:r>
        <w:t>郭锐编 其他作品：https://www.jiaokey.com/tag/郭锐编.html</w:t>
      </w:r>
    </w:p>
    <w:p>
      <w:r>
        <w:t>机械工业部科技信息研究院综合研究室 出版图书：https://www.jiaokey.com/tag/机械工业部科技信息研究院综合研究室.html</w:t>
      </w:r>
    </w:p>
    <w:p>
      <w:r>
        <w:t>关键词搜索：https://www.jiaokey.com/tag/中国机电工业基本国情的研究.html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