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  企业名称  广告语言文字应用规范指要</w:t>
      </w:r>
    </w:p>
    <w:p>
      <w:r>
        <w:rPr>
          <w:rFonts w:ascii="宋体" w:hAnsi="宋体" w:eastAsia="宋体"/>
          <w:sz w:val="24"/>
        </w:rPr>
        <w:t>中央文明办，国家工商总局，国家语委编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  企业名称  广告语言文字应用规范指要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中央文明办，国家工商总局，国家语委编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本书出售、求购地址：https://www.jiaokey.com/book/detail/12095503.html</w:t>
      </w:r>
    </w:p>
    <w:p>
      <w:r>
        <w:t>更多相关图书推荐：https://www.jiaokey.com</w:t>
      </w:r>
    </w:p>
    <w:p>
      <w:r>
        <w:t>中央文明办，国家工商总局，国家语委编 其他作品：https://www.jiaokey.com/tag/中央文明办，国家工商总局，国家语委编.html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关键词搜索：https://www.jiaokey.com/tag/商标  企业名称  广告语言文字应用规范指要.html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