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中国污染减排  战略与政策</w:t>
      </w:r>
    </w:p>
    <w:p>
      <w:r>
        <w:rPr>
          <w:rFonts w:ascii="宋体" w:hAnsi="宋体" w:eastAsia="宋体"/>
          <w:sz w:val="24"/>
        </w:rPr>
        <w:t>《实现“十一五”环境目标政策机制研究》课题组编著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中国污染减排  战略与政策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《实现“十一五”环境目标政策机制研究》课题组编著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本书出售、求购地址：https://www.jiaokey.com/book/detail/12095786.html</w:t>
      </w:r>
    </w:p>
    <w:p>
      <w:r>
        <w:t>更多相关图书推荐：https://www.jiaokey.com</w:t>
      </w:r>
    </w:p>
    <w:p>
      <w:r>
        <w:t>《实现“十一五”环境目标政策机制研究》课题组编著 其他作品：https://www.jiaokey.com/tag/《实现“十一五”环境目标政策机制研究》课题组编著.html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关键词搜索：https://www.jiaokey.com/tag/中国污染减排  战略与政策.html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