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一切诚念终将相遇  解读王元化</w:t>
      </w:r>
    </w:p>
    <w:p>
      <w:r>
        <w:rPr>
          <w:rFonts w:ascii="宋体" w:hAnsi="宋体" w:eastAsia="宋体"/>
          <w:sz w:val="24"/>
        </w:rPr>
        <w:t>钱钢编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一切诚念终将相遇  解读王元化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本书出售、求购地址：https://www.jiaokey.com/book/detail/12117697.html</w:t>
      </w:r>
    </w:p>
    <w:p>
      <w:r>
        <w:t>更多相关图书推荐：https://www.jiaokey.com</w:t>
      </w:r>
    </w:p>
    <w:p>
      <w:r>
        <w:t>钱钢编 其他作品：https://www.jiaokey.com/tag/钱钢编.html</w:t>
      </w:r>
    </w:p>
    <w:p>
      <w:r>
        <w:t>武汉市：湖北教育出版社 出版图书：https://www.jiaokey.com/tag/武汉市：湖北教育出版社.html</w:t>
      </w:r>
    </w:p>
    <w:p>
      <w:r>
        <w:t>关键词搜索：https://www.jiaokey.com/tag/一切诚念终将相遇  解读王元化.html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