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B2B发展策略</w:t>
      </w:r>
    </w:p>
    <w:p>
      <w:r>
        <w:rPr>
          <w:rFonts w:ascii="宋体" w:hAnsi="宋体" w:eastAsia="宋体"/>
          <w:sz w:val="24"/>
        </w:rPr>
        <w:t>马修·弗莱德曼，马林·布兰雪著；Matthew Friedman，Marlene Blanshay著；郭和杰译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马修·弗莱德曼，马林·布兰雪著；Matthew Friedman，Marlene Blanshay著；郭和杰译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本书出售、求购地址：https://www.jiaokey.com/book/detail/12169303.html</w:t>
      </w:r>
    </w:p>
    <w:p>
      <w:r>
        <w:t>更多相关图书推荐：https://www.jiaokey.com</w:t>
      </w:r>
    </w:p>
    <w:p>
      <w:r>
        <w:t>马修·弗莱德曼，马林·布兰雪著；Matthew Friedman，Marlene Blanshay著；郭和杰译 其他作品：https://www.jiaokey.com/tag/马修·弗莱德曼，马林·布兰雪著；Matthew Friedman，Marlene Blanshay著；郭和杰译.html</w:t>
      </w:r>
    </w:p>
    <w:p>
      <w:r>
        <w:t>中国生产力中心 出版图书：https://www.jiaokey.com/tag/中国生产力中心.html</w:t>
      </w:r>
    </w:p>
    <w:p>
      <w:r>
        <w:t>关键词搜索：https://www.jiaokey.com/tag/B2B发展策略.html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