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书名：律动与辉光：中国古代文学结构生成背景与个案研究</w:t>
      </w:r>
    </w:p>
    <w:p>
      <w:r>
        <w:t>作者：孙敏强著</w:t>
      </w:r>
    </w:p>
    <w:p>
      <w:r>
        <w:t>出版社：杭州：浙江大学出版社</w:t>
      </w:r>
    </w:p>
    <w:p>
      <w:r>
        <w:t>出版日期：2008.11</w:t>
      </w:r>
    </w:p>
    <w:p>
      <w:r>
        <w:t>总页数：313</w:t>
      </w:r>
    </w:p>
    <w:p>
      <w:r>
        <w:t>更多请访问教客网: www.jiaokey.com</w:t>
      </w:r>
    </w:p>
    <w:p>
      <w:r>
        <w:t>律动与辉光：中国古代文学结构生成背景与个案研究 评论地址：https://www.jiaokey.com/book/detail/12191857.html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