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 8086微处理器</w:t>
      </w:r>
    </w:p>
    <w:p>
      <w:r>
        <w:rPr>
          <w:rFonts w:ascii="宋体" w:hAnsi="宋体" w:eastAsia="宋体"/>
          <w:sz w:val="24"/>
        </w:rPr>
        <w:t>唐长钧等编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 8086微处理器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唐长钧等编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上海交通大学微机研究所技术交流室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本书出售、求购地址：https://www.jiaokey.com/book/detail/12294352.html</w:t>
      </w:r>
    </w:p>
    <w:p>
      <w:r>
        <w:t>更多相关图书推荐：https://www.jiaokey.com</w:t>
      </w:r>
    </w:p>
    <w:p>
      <w:r>
        <w:t>唐长钧等编 其他作品：https://www.jiaokey.com/tag/唐长钧等编.html</w:t>
      </w:r>
    </w:p>
    <w:p>
      <w:r>
        <w:t>上海交通大学微机研究所技术交流室 出版图书：https://www.jiaokey.com/tag/上海交通大学微机研究所技术交流室.html</w:t>
      </w:r>
    </w:p>
    <w:p>
      <w:r>
        <w:t>关键词搜索：https://www.jiaokey.com/tag/Intel 8086微处理器.html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