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工业企业底资产负债平衡表</w:t>
      </w:r>
    </w:p>
    <w:p>
      <w:r>
        <w:rPr>
          <w:rFonts w:ascii="宋体" w:hAnsi="宋体" w:eastAsia="宋体"/>
          <w:sz w:val="24"/>
        </w:rPr>
        <w:t>卡西茨基著；陈元燮译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工业企业底资产负债平衡表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卡西茨基著；陈元燮译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本书出售、求购地址：https://www.jiaokey.com/book/detail/12347147.html</w:t>
      </w:r>
    </w:p>
    <w:p>
      <w:r>
        <w:t>更多相关图书推荐：https://www.jiaokey.com</w:t>
      </w:r>
    </w:p>
    <w:p>
      <w:r>
        <w:t>卡西茨基著；陈元燮译 其他作品：https://www.jiaokey.com/tag/卡西茨基著；陈元燮译.html</w:t>
      </w:r>
    </w:p>
    <w:p>
      <w:r>
        <w:t>中国工业月刊社 出版图书：https://www.jiaokey.com/tag/中国工业月刊社.html</w:t>
      </w:r>
    </w:p>
    <w:p>
      <w:r>
        <w:t>关键词搜索：https://www.jiaokey.com/tag/工业企业底资产负债平衡表.html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