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催化作用</w:t>
      </w:r>
    </w:p>
    <w:p>
      <w:r>
        <w:rPr>
          <w:rFonts w:ascii="宋体" w:hAnsi="宋体" w:eastAsia="宋体"/>
          <w:sz w:val="24"/>
        </w:rPr>
        <w:t>（苏）加里宁（И.А.Калинин）著；吴德琪，梁启义译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（苏）加里宁（И.А.Калинин）著；吴德琪，梁启义译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本书出售、求购地址：https://www.jiaokey.com/book/detail/12358564.html</w:t>
      </w:r>
    </w:p>
    <w:p>
      <w:r>
        <w:t>更多相关图书推荐：https://www.jiaokey.com</w:t>
      </w:r>
    </w:p>
    <w:p>
      <w:r>
        <w:t>（苏）加里宁（И.А.Калинин）著；吴德琪，梁启义译 其他作品：https://www.jiaokey.com/tag/（苏）加里宁（И.А.Калинин）著；吴德琪，梁启义译.html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关键词搜索：https://www.jiaokey.com/tag/催化作用.html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