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巴甫洛夫高级神经活动学说的基本原理</w:t>
      </w:r>
    </w:p>
    <w:p>
      <w:r>
        <w:rPr>
          <w:rFonts w:ascii="宋体" w:hAnsi="宋体" w:eastAsia="宋体"/>
          <w:sz w:val="24"/>
        </w:rPr>
        <w:t>阎德润撰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巴甫洛夫高级神经活动学说的基本原理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阎德润撰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本书出售、求购地址：https://www.jiaokey.com/book/detail/12370001.html</w:t>
      </w:r>
    </w:p>
    <w:p>
      <w:r>
        <w:t>更多相关图书推荐：https://www.jiaokey.com</w:t>
      </w:r>
    </w:p>
    <w:p>
      <w:r>
        <w:t>阎德润撰 其他作品：https://www.jiaokey.com/tag/阎德润撰.html</w:t>
      </w:r>
    </w:p>
    <w:p>
      <w:r>
        <w:t>东北图书馆 出版图书：https://www.jiaokey.com/tag/东北图书馆.html</w:t>
      </w:r>
    </w:p>
    <w:p>
      <w:r>
        <w:t>关键词搜索：https://www.jiaokey.com/tag/巴甫洛夫高级神经活动学说的基本原理.html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