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乐昌县的传统经济、宗族与宗教文化</w:t>
      </w:r>
    </w:p>
    <w:p>
      <w:r>
        <w:rPr>
          <w:rFonts w:ascii="宋体" w:hAnsi="宋体" w:eastAsia="宋体"/>
          <w:sz w:val="24"/>
        </w:rPr>
        <w:t>谭伟伦主编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乐昌县的传统经济、宗族与宗教文化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国际客家学会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本书出售、求购地址：https://www.jiaokey.com/book/detail/12391512.html</w:t>
      </w:r>
    </w:p>
    <w:p>
      <w:r>
        <w:t>更多相关图书推荐：https://www.jiaokey.com</w:t>
      </w:r>
    </w:p>
    <w:p>
      <w:r>
        <w:t>谭伟伦主编 其他作品：https://www.jiaokey.com/tag/谭伟伦主编.html</w:t>
      </w:r>
    </w:p>
    <w:p>
      <w:r>
        <w:t>国际客家学会 出版图书：https://www.jiaokey.com/tag/国际客家学会.html</w:t>
      </w:r>
    </w:p>
    <w:p>
      <w:r>
        <w:t>关键词搜索：https://www.jiaokey.com/tag/乐昌县的传统经济、宗族与宗教文化.html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