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书名：国产活性染料性质的研究  活性妃红，桃红及红酱</w:t>
      </w:r>
    </w:p>
    <w:p>
      <w:r>
        <w:t>作者：上海冈丰印染厂编</w:t>
      </w:r>
    </w:p>
    <w:p>
      <w:r>
        <w:t>出版社：北京：纺织工业出版社</w:t>
      </w:r>
    </w:p>
    <w:p>
      <w:r>
        <w:t>出版日期：1958.11</w:t>
      </w:r>
    </w:p>
    <w:p>
      <w:r>
        <w:t>总页数：32</w:t>
      </w:r>
    </w:p>
    <w:p>
      <w:r>
        <w:t>更多请访问教客网: www.jiaokey.com</w:t>
      </w:r>
    </w:p>
    <w:p>
      <w:r>
        <w:t>国产活性染料性质的研究  活性妃红，桃红及红酱 评论地址：https://www.jiaokey.com/book/detail/12403439.html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