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写意人物一点通</w:t>
      </w:r>
    </w:p>
    <w:p>
      <w:r>
        <w:rPr>
          <w:rFonts w:ascii="宋体" w:hAnsi="宋体" w:eastAsia="宋体"/>
          <w:sz w:val="24"/>
        </w:rPr>
        <w:t>邵洛羊主编；王仲清，王重来编著；上海老年大学书画社等编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邵洛羊主编；王仲清，王重来编著；上海老年大学书画社等编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本书出售、求购地址：https://www.jiaokey.com/book/detail/12414169.html</w:t>
      </w:r>
    </w:p>
    <w:p>
      <w:r>
        <w:t>更多相关图书推荐：https://www.jiaokey.com</w:t>
      </w:r>
    </w:p>
    <w:p>
      <w:r>
        <w:t>邵洛羊主编；王仲清，王重来编著；上海老年大学书画社等编 其他作品：https://www.jiaokey.com/tag/邵洛羊主编；王仲清，王重来编著；上海老年大学书画社等编.html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关键词搜索：https://www.jiaokey.com/tag/写意人物一点通.html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