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政府形象与民意思维；政府直面群众与群众博弈政府</w:t>
      </w:r>
    </w:p>
    <w:p>
      <w:r>
        <w:rPr>
          <w:rFonts w:ascii="宋体" w:hAnsi="宋体" w:eastAsia="宋体"/>
          <w:sz w:val="24"/>
        </w:rPr>
        <w:t>唐钧著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政府形象与民意思维；政府直面群众与群众博弈政府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本书出售、求购地址：https://www.jiaokey.com/book/detail/12419182.html</w:t>
      </w:r>
    </w:p>
    <w:p>
      <w:r>
        <w:t>更多相关图书推荐：https://www.jiaokey.com</w:t>
      </w:r>
    </w:p>
    <w:p>
      <w:r>
        <w:t>唐钧著 其他作品：https://www.jiaokey.com/tag/唐钧著.html</w:t>
      </w:r>
    </w:p>
    <w:p>
      <w:r>
        <w:t>关键词搜索：https://www.jiaokey.com/tag/政府形象与民意思维；政府直面群众与群众博弈政府.html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