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水田耕作的基本原理</w:t>
      </w:r>
    </w:p>
    <w:p>
      <w:r>
        <w:rPr>
          <w:rFonts w:ascii="宋体" w:hAnsi="宋体" w:eastAsia="宋体"/>
          <w:sz w:val="24"/>
        </w:rPr>
        <w:t>（日）泉清一等编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水田耕作的基本原理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（日）泉清一等编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湖南农学院粮油教研组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本书出售、求购地址：https://www.jiaokey.com/book/detail/12422294.html</w:t>
      </w:r>
    </w:p>
    <w:p>
      <w:r>
        <w:t>更多相关图书推荐：https://www.jiaokey.com</w:t>
      </w:r>
    </w:p>
    <w:p>
      <w:r>
        <w:t>（日）泉清一等编 其他作品：https://www.jiaokey.com/tag/（日）泉清一等编.html</w:t>
      </w:r>
    </w:p>
    <w:p>
      <w:r>
        <w:t>湖南农学院粮油教研组 出版图书：https://www.jiaokey.com/tag/湖南农学院粮油教研组.html</w:t>
      </w:r>
    </w:p>
    <w:p>
      <w:r>
        <w:t>关键词搜索：https://www.jiaokey.com/tag/水田耕作的基本原理.html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