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三项创造性原则  至公惠爱待人如亲</w:t>
      </w:r>
    </w:p>
    <w:p>
      <w:r>
        <w:rPr>
          <w:rFonts w:ascii="宋体" w:hAnsi="宋体" w:eastAsia="宋体"/>
          <w:sz w:val="24"/>
        </w:rPr>
        <w:t>米尔萨·大海尔·阿哈默德先生著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三项创造性原则  至公惠爱待人如亲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米尔萨·大海尔·阿哈默德先生著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伊斯兰教国际出版社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本书出售、求购地址：https://www.jiaokey.com/book/detail/12434347.html</w:t>
      </w:r>
    </w:p>
    <w:p>
      <w:r>
        <w:t>更多相关图书推荐：https://www.jiaokey.com</w:t>
      </w:r>
    </w:p>
    <w:p>
      <w:r>
        <w:t>米尔萨·大海尔·阿哈默德先生著 其他作品：https://www.jiaokey.com/tag/米尔萨·大海尔·阿哈默德先生著.html</w:t>
      </w:r>
    </w:p>
    <w:p>
      <w:r>
        <w:t>伊斯兰教国际出版社 出版图书：https://www.jiaokey.com/tag/伊斯兰教国际出版社.html</w:t>
      </w:r>
    </w:p>
    <w:p>
      <w:r>
        <w:t>关键词搜索：https://www.jiaokey.com/tag/三项创造性原则  至公惠爱待人如亲.html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