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加工贸易主要政策法规  补充文件</w:t>
      </w:r>
    </w:p>
    <w:p>
      <w:r>
        <w:rPr>
          <w:rFonts w:ascii="宋体" w:hAnsi="宋体" w:eastAsia="宋体"/>
          <w:sz w:val="24"/>
        </w:rPr>
        <w:t>商务部机电产品进出口司著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加工贸易主要政策法规  补充文件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商务部机电产品进出口司著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商务部机电产品进出口公司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本书出售、求购地址：https://www.jiaokey.com/book/detail/12436906.html</w:t>
      </w:r>
    </w:p>
    <w:p>
      <w:r>
        <w:t>更多相关图书推荐：https://www.jiaokey.com</w:t>
      </w:r>
    </w:p>
    <w:p>
      <w:r>
        <w:t>商务部机电产品进出口司著 其他作品：https://www.jiaokey.com/tag/商务部机电产品进出口司著.html</w:t>
      </w:r>
    </w:p>
    <w:p>
      <w:r>
        <w:t>商务部机电产品进出口公司 出版图书：https://www.jiaokey.com/tag/商务部机电产品进出口公司.html</w:t>
      </w:r>
    </w:p>
    <w:p>
      <w:r>
        <w:t>关键词搜索：https://www.jiaokey.com/tag/加工贸易主要政策法规  补充文件.html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