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工厂自动化手册  （一）  自动化与经营战略</w:t>
      </w:r>
    </w:p>
    <w:p>
      <w:r>
        <w:rPr>
          <w:rFonts w:ascii="宋体" w:hAnsi="宋体" w:eastAsia="宋体"/>
          <w:sz w:val="24"/>
        </w:rPr>
        <w:t>冶金部自动化研究所科技情报室编译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工厂自动化手册  （一）  自动化与经营战略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冶金部自动化研究所科技情报室编译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本书出售、求购地址：https://www.jiaokey.com/book/detail/12487526.html</w:t>
      </w:r>
    </w:p>
    <w:p>
      <w:r>
        <w:t>更多相关图书推荐：https://www.jiaokey.com</w:t>
      </w:r>
    </w:p>
    <w:p>
      <w:r>
        <w:t>冶金部自动化研究所科技情报室编译 其他作品：https://www.jiaokey.com/tag/冶金部自动化研究所科技情报室编译.html</w:t>
      </w:r>
    </w:p>
    <w:p>
      <w:r>
        <w:t>关键词搜索：https://www.jiaokey.com/tag/工厂自动化手册  （一）  自动化与经营战略.html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