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幼儿园课程基本理论和整体改革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幼儿园课程基本理论和整体改革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本书出售、求购地址：https://www.jiaokey.com/book/detail/12502145.html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关键词搜索：https://www.jiaokey.com/tag/幼儿园课程基本理论和整体改革.html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