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人民群众在历史上的作用</w:t>
      </w:r>
    </w:p>
    <w:p>
      <w:r>
        <w:rPr>
          <w:rFonts w:ascii="宋体" w:hAnsi="宋体" w:eastAsia="宋体"/>
          <w:sz w:val="24"/>
        </w:rPr>
        <w:t>（俄）普列汉诺夫（Georgii Valentinovich Plekhanov）等撰；唯真等译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人民群众在历史上的作用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（俄）普列汉诺夫（Georgii Valentinovich Plekhanov）等撰；唯真等译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本书出售、求购地址：https://www.jiaokey.com/book/detail/12532015.html</w:t>
      </w:r>
    </w:p>
    <w:p>
      <w:r>
        <w:t>更多相关图书推荐：https://www.jiaokey.com</w:t>
      </w:r>
    </w:p>
    <w:p>
      <w:r>
        <w:t>（俄）普列汉诺夫（Georgii Valentinovich Plekhanov）等撰；唯真等译 其他作品：https://www.jiaokey.com/tag/（俄）普列汉诺夫（Georgii Valentinovich Plekhanov）等撰；唯真等译.html</w:t>
      </w:r>
    </w:p>
    <w:p>
      <w:r>
        <w:t>华北大学 出版图书：https://www.jiaokey.com/tag/华北大学.html</w:t>
      </w:r>
    </w:p>
    <w:p>
      <w:r>
        <w:t>关键词搜索：https://www.jiaokey.com/tag/人民群众在历史上的作用.html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