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水稻“三系”杂种优势利用</w:t>
      </w:r>
    </w:p>
    <w:p>
      <w:r>
        <w:rPr>
          <w:rFonts w:ascii="宋体" w:hAnsi="宋体" w:eastAsia="宋体"/>
          <w:sz w:val="24"/>
        </w:rPr>
        <w:t>广东省农作物杂种优势利用研究协作组编著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水稻“三系”杂种优势利用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广东省农作物杂种优势利用研究协作组编著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水稻“三系”杂种优势利用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本书出售、求购地址：https://www.jiaokey.com/book/detail/12587345.html</w:t>
      </w:r>
    </w:p>
    <w:p>
      <w:r>
        <w:t>更多相关图书推荐：https://www.jiaokey.com</w:t>
      </w:r>
    </w:p>
    <w:p>
      <w:r>
        <w:t>广东省农作物杂种优势利用研究协作组编著 其他作品：https://www.jiaokey.com/tag/广东省农作物杂种优势利用研究协作组编著.html</w:t>
      </w:r>
    </w:p>
    <w:p>
      <w:r>
        <w:t>广东省科学技术出版社 出版图书：https://www.jiaokey.com/tag/广东省科学技术出版社.html</w:t>
      </w:r>
    </w:p>
    <w:p>
      <w:r>
        <w:t>关键词搜索：https://www.jiaokey.com/tag/水稻“三系”杂种优势利用.html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