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油松人工用材林经营类型设计的研究</w:t>
      </w:r>
    </w:p>
    <w:p>
      <w:r>
        <w:rPr>
          <w:rFonts w:ascii="宋体" w:hAnsi="宋体" w:eastAsia="宋体"/>
          <w:sz w:val="24"/>
        </w:rPr>
        <w:t>戚维江，赵刚编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油松人工用材林经营类型设计的研究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戚维江，赵刚编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辽宁省林业科学研究所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本书出售、求购地址：https://www.jiaokey.com/book/detail/12604229.html</w:t>
      </w:r>
    </w:p>
    <w:p>
      <w:r>
        <w:t>更多相关图书推荐：https://www.jiaokey.com</w:t>
      </w:r>
    </w:p>
    <w:p>
      <w:r>
        <w:t>戚维江，赵刚编 其他作品：https://www.jiaokey.com/tag/戚维江，赵刚编.html</w:t>
      </w:r>
    </w:p>
    <w:p>
      <w:r>
        <w:t>辽宁省林业科学研究所 出版图书：https://www.jiaokey.com/tag/辽宁省林业科学研究所.html</w:t>
      </w:r>
    </w:p>
    <w:p>
      <w:r>
        <w:t>关键词搜索：https://www.jiaokey.com/tag/油松人工用材林经营类型设计的研究.html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