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内蒙古乌兰察布盟  野生果树资源</w:t>
      </w:r>
    </w:p>
    <w:p>
      <w:r>
        <w:rPr>
          <w:rFonts w:ascii="宋体" w:hAnsi="宋体" w:eastAsia="宋体"/>
          <w:sz w:val="24"/>
        </w:rPr>
        <w:t>内蒙古农牧渔业厅多种经营站编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内蒙古乌兰察布盟  野生果树资源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内蒙古农牧渔业厅多种经营站编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内蒙古农牧学院生产处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本书出售、求购地址：https://www.jiaokey.com/book/detail/12604653.html</w:t>
      </w:r>
    </w:p>
    <w:p>
      <w:r>
        <w:t>更多相关图书推荐：https://www.jiaokey.com</w:t>
      </w:r>
    </w:p>
    <w:p>
      <w:r>
        <w:t>内蒙古农牧渔业厅多种经营站编 其他作品：https://www.jiaokey.com/tag/内蒙古农牧渔业厅多种经营站编.html</w:t>
      </w:r>
    </w:p>
    <w:p>
      <w:r>
        <w:t>内蒙古农牧学院生产处 出版图书：https://www.jiaokey.com/tag/内蒙古农牧学院生产处.html</w:t>
      </w:r>
    </w:p>
    <w:p>
      <w:r>
        <w:t>关键词搜索：https://www.jiaokey.com/tag/内蒙古乌兰察布盟  野生果树资源.html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