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野战炮兵操典详解</w:t>
      </w:r>
    </w:p>
    <w:p>
      <w:r>
        <w:rPr>
          <w:rFonts w:ascii="宋体" w:hAnsi="宋体" w:eastAsia="宋体"/>
          <w:sz w:val="24"/>
        </w:rPr>
        <w:t>日本军事研究会原著；徐梦成译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野战炮兵操典详解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日本军事研究会原著；徐梦成译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陆军军官学校第五、六期炮科同学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本书出售、求购地址：https://www.jiaokey.com/book/detail/12633828.html</w:t>
      </w:r>
    </w:p>
    <w:p>
      <w:r>
        <w:t>更多相关图书推荐：https://www.jiaokey.com</w:t>
      </w:r>
    </w:p>
    <w:p>
      <w:r>
        <w:t>日本军事研究会原著；徐梦成译 其他作品：https://www.jiaokey.com/tag/日本军事研究会原著；徐梦成译.html</w:t>
      </w:r>
    </w:p>
    <w:p>
      <w:r>
        <w:t>陆军军官学校第五、六期炮科同学 出版图书：https://www.jiaokey.com/tag/陆军军官学校第五、六期炮科同学.html</w:t>
      </w:r>
    </w:p>
    <w:p>
      <w:r>
        <w:t>关键词搜索：https://www.jiaokey.com/tag/野战炮兵操典详解.html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