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二十年目睹怪现状</w:t>
      </w:r>
    </w:p>
    <w:p>
      <w:r>
        <w:rPr>
          <w:rFonts w:ascii="宋体" w:hAnsi="宋体" w:eastAsia="宋体"/>
          <w:sz w:val="24"/>
        </w:rPr>
        <w:t>（清）吴趼人著；周郁浩校勘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二十年目睹怪现状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（清）吴趼人著；周郁浩校勘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本书出售、求购地址：https://www.jiaokey.com/book/detail/12653452.html</w:t>
      </w:r>
    </w:p>
    <w:p>
      <w:r>
        <w:t>更多相关图书推荐：https://www.jiaokey.com</w:t>
      </w:r>
    </w:p>
    <w:p>
      <w:r>
        <w:t>（清）吴趼人著；周郁浩校勘 其他作品：https://www.jiaokey.com/tag/（清）吴趼人著；周郁浩校勘.html</w:t>
      </w:r>
    </w:p>
    <w:p>
      <w:r>
        <w:t>广益书局 出版图书：https://www.jiaokey.com/tag/广益书局.html</w:t>
      </w:r>
    </w:p>
    <w:p>
      <w:r>
        <w:t>关键词搜索：https://www.jiaokey.com/tag/二十年目睹怪现状.html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