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匪区土地处理条例之立法的意义及实施成绩之观测  下</w:t>
      </w:r>
    </w:p>
    <w:p>
      <w:r>
        <w:rPr>
          <w:rFonts w:ascii="宋体" w:hAnsi="宋体" w:eastAsia="宋体"/>
          <w:sz w:val="24"/>
        </w:rPr>
        <w:t>傅辛耕著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匪区土地处理条例之立法的意义及实施成绩之观测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傅辛耕著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成文出版社有限公司，（美国）中文资料中心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本书出售、求购地址：https://www.jiaokey.com/book/detail/12694397.html</w:t>
      </w:r>
    </w:p>
    <w:p>
      <w:r>
        <w:t>更多相关图书推荐：https://www.jiaokey.com</w:t>
      </w:r>
    </w:p>
    <w:p>
      <w:r>
        <w:t>傅辛耕著 其他作品：https://www.jiaokey.com/tag/傅辛耕著.html</w:t>
      </w:r>
    </w:p>
    <w:p>
      <w:r>
        <w:t>成文出版社有限公司，（美国）中文资料中心 出版图书：https://www.jiaokey.com/tag/成文出版社有限公司，（美国）中文资料中心.html</w:t>
      </w:r>
    </w:p>
    <w:p>
      <w:r>
        <w:t>关键词搜索：https://www.jiaokey.com/tag/匪区土地处理条例之立法的意义及实施成绩之观测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