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城市化、动力机制及其制度创新  基于政府行为的视角</w:t>
      </w:r>
    </w:p>
    <w:p>
      <w:r>
        <w:rPr>
          <w:rFonts w:ascii="宋体" w:hAnsi="宋体" w:eastAsia="宋体"/>
          <w:sz w:val="24"/>
        </w:rPr>
        <w:t>景春梅著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城市化、动力机制及其制度创新  基于政府行为的视角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本书出售、求购地址：https://www.jiaokey.com/book/detail/12727240.html</w:t>
      </w:r>
    </w:p>
    <w:p>
      <w:r>
        <w:t>更多相关图书推荐：https://www.jiaokey.com</w:t>
      </w:r>
    </w:p>
    <w:p>
      <w:r>
        <w:t>景春梅著 其他作品：https://www.jiaokey.com/tag/景春梅著.html</w:t>
      </w:r>
    </w:p>
    <w:p>
      <w:r>
        <w:t>关键词搜索：https://www.jiaokey.com/tag/城市化、动力机制及其制度创新  基于政府行为的视角.html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