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中华图案五千年  第6辑  隋唐五代</w:t>
      </w:r>
    </w:p>
    <w:p>
      <w:r>
        <w:rPr>
          <w:rFonts w:ascii="宋体" w:hAnsi="宋体" w:eastAsia="宋体"/>
          <w:sz w:val="24"/>
        </w:rPr>
        <w:t>张道一主编；倪建林册主编（苏州大学艺术学院）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中华图案五千年  第6辑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张道一主编；倪建林册主编（苏州大学艺术学院）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美工科技有限公司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本书出售、求购地址：https://www.jiaokey.com/book/detail/12746166.html</w:t>
      </w:r>
    </w:p>
    <w:p>
      <w:r>
        <w:t>更多相关图书推荐：https://www.jiaokey.com</w:t>
      </w:r>
    </w:p>
    <w:p>
      <w:r>
        <w:t>张道一主编；倪建林册主编（苏州大学艺术学院） 其他作品：https://www.jiaokey.com/tag/张道一主编；倪建林册主编（苏州大学艺术学院）.html</w:t>
      </w:r>
    </w:p>
    <w:p>
      <w:r>
        <w:t>美工科技有限公司 出版图书：https://www.jiaokey.com/tag/美工科技有限公司.html</w:t>
      </w:r>
    </w:p>
    <w:p>
      <w:r>
        <w:t>关键词搜索：https://www.jiaokey.com/tag/中华图案五千年  第6辑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