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国家风险分析</w:t>
      </w:r>
    </w:p>
    <w:p>
      <w:r>
        <w:rPr>
          <w:rFonts w:ascii="宋体" w:hAnsi="宋体" w:eastAsia="宋体"/>
          <w:sz w:val="24"/>
        </w:rPr>
        <w:t>倪成彬主编，郭国灼编著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倪成彬主编，郭国灼编著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金融人员研究训练中心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本书出售、求购地址：https://www.jiaokey.com/book/detail/12754173.html</w:t>
      </w:r>
    </w:p>
    <w:p>
      <w:r>
        <w:t>更多相关图书推荐：https://www.jiaokey.com</w:t>
      </w:r>
    </w:p>
    <w:p>
      <w:r>
        <w:t>倪成彬主编，郭国灼编著 其他作品：https://www.jiaokey.com/tag/倪成彬主编，郭国灼编著.html</w:t>
      </w:r>
    </w:p>
    <w:p>
      <w:r>
        <w:t>金融人员研究训练中心 出版图书：https://www.jiaokey.com/tag/金融人员研究训练中心.html</w:t>
      </w:r>
    </w:p>
    <w:p>
      <w:r>
        <w:t>关键词搜索：https://www.jiaokey.com/tag/国家风险分析.html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