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动画电影探索</w:t>
      </w:r>
    </w:p>
    <w:p>
      <w:r>
        <w:rPr>
          <w:rFonts w:ascii="宋体" w:hAnsi="宋体" w:eastAsia="宋体"/>
          <w:sz w:val="24"/>
        </w:rPr>
        <w:t>黑百屋电影工作室策划；黄玉珊，余为政编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动画电影探索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黑百屋电影工作室策划；黄玉珊，余为政编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本书出售、求购地址：https://www.jiaokey.com/book/detail/12761002.html</w:t>
      </w:r>
    </w:p>
    <w:p>
      <w:r>
        <w:t>更多相关图书推荐：https://www.jiaokey.com</w:t>
      </w:r>
    </w:p>
    <w:p>
      <w:r>
        <w:t>黑百屋电影工作室策划；黄玉珊，余为政编 其他作品：https://www.jiaokey.com/tag/黑百屋电影工作室策划；黄玉珊，余为政编.html</w:t>
      </w:r>
    </w:p>
    <w:p>
      <w:r>
        <w:t>远流出版公司 出版图书：https://www.jiaokey.com/tag/远流出版公司.html</w:t>
      </w:r>
    </w:p>
    <w:p>
      <w:r>
        <w:t>关键词搜索：https://www.jiaokey.com/tag/动画电影探索.html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