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中国居民消费需求变迁及影响因素研究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中国居民消费需求变迁及影响因素研究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本书出售、求购地址：https://www.jiaokey.com/book/detail/12784652.html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关键词搜索：https://www.jiaokey.com/tag/中国居民消费需求变迁及影响因素研究.html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