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跨国夺利侵权诉讼之管理</w:t>
      </w:r>
    </w:p>
    <w:p>
      <w:r>
        <w:rPr>
          <w:rFonts w:ascii="宋体" w:hAnsi="宋体" w:eastAsia="宋体"/>
          <w:sz w:val="24"/>
        </w:rPr>
        <w:t>陈郁婷，周延鹏，王承守，鄧颖懋著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跨国夺利侵权诉讼之管理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陈郁婷，周延鹏，王承守，鄧颖懋著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本书出售、求购地址：https://www.jiaokey.com/book/detail/12792978.html</w:t>
      </w:r>
    </w:p>
    <w:p>
      <w:r>
        <w:t>更多相关图书推荐：https://www.jiaokey.com</w:t>
      </w:r>
    </w:p>
    <w:p>
      <w:r>
        <w:t>陈郁婷，周延鹏，王承守，鄧颖懋著 其他作品：https://www.jiaokey.com/tag/陈郁婷，周延鹏，王承守，鄧颖懋著.html</w:t>
      </w:r>
    </w:p>
    <w:p>
      <w:r>
        <w:t>元照 出版图书：https://www.jiaokey.com/tag/元照.html</w:t>
      </w:r>
    </w:p>
    <w:p>
      <w:r>
        <w:t>关键词搜索：https://www.jiaokey.com/tag/跨国夺利侵权诉讼之管理.html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